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DDE85" w14:textId="51084797" w:rsidR="007827B8" w:rsidRDefault="007827B8" w:rsidP="005F354B">
      <w:pPr>
        <w:rPr>
          <w:b/>
          <w:bCs/>
          <w:sz w:val="26"/>
          <w:szCs w:val="26"/>
        </w:rPr>
      </w:pPr>
      <w:r>
        <w:rPr>
          <w:rFonts w:asciiTheme="majorHAnsi" w:hAnsiTheme="majorHAnsi"/>
          <w:noProof/>
          <w:sz w:val="28"/>
          <w:szCs w:val="28"/>
        </w:rPr>
        <w:drawing>
          <wp:anchor distT="0" distB="0" distL="114300" distR="114300" simplePos="0" relativeHeight="251660288" behindDoc="0" locked="0" layoutInCell="1" allowOverlap="1" wp14:anchorId="45E4A226" wp14:editId="3CA31F90">
            <wp:simplePos x="0" y="0"/>
            <wp:positionH relativeFrom="column">
              <wp:posOffset>-457200</wp:posOffset>
            </wp:positionH>
            <wp:positionV relativeFrom="paragraph">
              <wp:posOffset>0</wp:posOffset>
            </wp:positionV>
            <wp:extent cx="2253468" cy="1554480"/>
            <wp:effectExtent l="0" t="0" r="0" b="0"/>
            <wp:wrapSquare wrapText="bothSides"/>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rotWithShape="1">
                    <a:blip r:embed="rId5" cstate="print">
                      <a:extLst>
                        <a:ext uri="{28A0092B-C50C-407E-A947-70E740481C1C}">
                          <a14:useLocalDpi xmlns:a14="http://schemas.microsoft.com/office/drawing/2010/main" val="0"/>
                        </a:ext>
                      </a:extLst>
                    </a:blip>
                    <a:srcRect l="7043" t="10337" r="13360" b="9503"/>
                    <a:stretch/>
                  </pic:blipFill>
                  <pic:spPr bwMode="auto">
                    <a:xfrm>
                      <a:off x="0" y="0"/>
                      <a:ext cx="2253468" cy="1554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437E438A" w14:textId="0EC5BA0C" w:rsidR="005F354B" w:rsidRPr="007827B8" w:rsidRDefault="005F354B" w:rsidP="005F354B">
      <w:r w:rsidRPr="00747CC1">
        <w:rPr>
          <w:b/>
          <w:bCs/>
          <w:sz w:val="26"/>
          <w:szCs w:val="26"/>
        </w:rPr>
        <w:t>Financial Need Statement</w:t>
      </w:r>
    </w:p>
    <w:p w14:paraId="44D3CE5B" w14:textId="77777777" w:rsidR="007827B8" w:rsidRDefault="007827B8" w:rsidP="005F354B">
      <w:pPr>
        <w:rPr>
          <w:sz w:val="21"/>
          <w:szCs w:val="21"/>
        </w:rPr>
      </w:pPr>
    </w:p>
    <w:p w14:paraId="5DF1D322" w14:textId="2309AA37" w:rsidR="005F354B" w:rsidRPr="004A360B" w:rsidRDefault="005F354B" w:rsidP="005F354B">
      <w:pPr>
        <w:rPr>
          <w:sz w:val="21"/>
          <w:szCs w:val="21"/>
        </w:rPr>
      </w:pPr>
      <w:r w:rsidRPr="004A360B">
        <w:rPr>
          <w:sz w:val="21"/>
          <w:szCs w:val="21"/>
        </w:rPr>
        <w:t>Mill City Farmers Market Charitable Fund (MCFM-CF) recognizes that a grant to purchase depreciable property (e</w:t>
      </w:r>
      <w:r>
        <w:rPr>
          <w:sz w:val="21"/>
          <w:szCs w:val="21"/>
        </w:rPr>
        <w:t>x</w:t>
      </w:r>
      <w:r w:rsidRPr="004A360B">
        <w:rPr>
          <w:sz w:val="21"/>
          <w:szCs w:val="21"/>
        </w:rPr>
        <w:t>., tractors, greenhouses, machinery, etc.)</w:t>
      </w:r>
      <w:r>
        <w:rPr>
          <w:sz w:val="21"/>
          <w:szCs w:val="21"/>
        </w:rPr>
        <w:t xml:space="preserve"> or to fund expenses associated with crop loss or other hardship are</w:t>
      </w:r>
      <w:r w:rsidRPr="004A360B">
        <w:rPr>
          <w:sz w:val="21"/>
          <w:szCs w:val="21"/>
        </w:rPr>
        <w:t xml:space="preserve">, standing alone, not charitable or educational. However, if the grantee can justify the need </w:t>
      </w:r>
      <w:r>
        <w:rPr>
          <w:sz w:val="21"/>
          <w:szCs w:val="21"/>
        </w:rPr>
        <w:t>of the purchase</w:t>
      </w:r>
      <w:r w:rsidRPr="004A360B">
        <w:rPr>
          <w:sz w:val="21"/>
          <w:szCs w:val="21"/>
        </w:rPr>
        <w:t xml:space="preserve"> for a charitable or educational reason, then it may be </w:t>
      </w:r>
      <w:r>
        <w:rPr>
          <w:sz w:val="21"/>
          <w:szCs w:val="21"/>
        </w:rPr>
        <w:t xml:space="preserve">considered </w:t>
      </w:r>
      <w:r w:rsidRPr="004A360B">
        <w:rPr>
          <w:sz w:val="21"/>
          <w:szCs w:val="21"/>
        </w:rPr>
        <w:t xml:space="preserve">charitable. </w:t>
      </w:r>
    </w:p>
    <w:p w14:paraId="213D9C91" w14:textId="77777777" w:rsidR="005F354B" w:rsidRPr="004A360B" w:rsidRDefault="005F354B" w:rsidP="005F354B">
      <w:pPr>
        <w:rPr>
          <w:sz w:val="21"/>
          <w:szCs w:val="21"/>
        </w:rPr>
      </w:pPr>
    </w:p>
    <w:p w14:paraId="1F130557" w14:textId="6F09A868" w:rsidR="007827B8" w:rsidRDefault="00C8136F" w:rsidP="00C8136F">
      <w:pPr>
        <w:tabs>
          <w:tab w:val="left" w:pos="5468"/>
        </w:tabs>
        <w:rPr>
          <w:sz w:val="21"/>
          <w:szCs w:val="21"/>
        </w:rPr>
      </w:pPr>
      <w:r>
        <w:rPr>
          <w:sz w:val="21"/>
          <w:szCs w:val="21"/>
        </w:rPr>
        <w:tab/>
      </w:r>
    </w:p>
    <w:p w14:paraId="53AC18A7" w14:textId="6AC4E85C" w:rsidR="005F354B" w:rsidRPr="004A360B" w:rsidRDefault="005F354B" w:rsidP="005F354B">
      <w:pPr>
        <w:rPr>
          <w:sz w:val="21"/>
          <w:szCs w:val="21"/>
        </w:rPr>
      </w:pPr>
      <w:r w:rsidRPr="004A360B">
        <w:rPr>
          <w:sz w:val="21"/>
          <w:szCs w:val="21"/>
        </w:rPr>
        <w:t xml:space="preserve">Examples of charitable or educational reasons to fund </w:t>
      </w:r>
      <w:r>
        <w:rPr>
          <w:sz w:val="21"/>
          <w:szCs w:val="21"/>
        </w:rPr>
        <w:t>these expenses</w:t>
      </w:r>
      <w:r w:rsidRPr="004A360B">
        <w:rPr>
          <w:sz w:val="21"/>
          <w:szCs w:val="21"/>
        </w:rPr>
        <w:t xml:space="preserve"> include but are not limited to:</w:t>
      </w:r>
    </w:p>
    <w:p w14:paraId="0C3A9E6E" w14:textId="77777777" w:rsidR="005F354B" w:rsidRPr="004A360B" w:rsidRDefault="005F354B" w:rsidP="005F354B">
      <w:pPr>
        <w:pStyle w:val="ListParagraph"/>
        <w:numPr>
          <w:ilvl w:val="0"/>
          <w:numId w:val="1"/>
        </w:numPr>
        <w:rPr>
          <w:sz w:val="21"/>
          <w:szCs w:val="21"/>
        </w:rPr>
      </w:pPr>
      <w:r>
        <w:rPr>
          <w:sz w:val="21"/>
          <w:szCs w:val="21"/>
        </w:rPr>
        <w:t>Purchasing</w:t>
      </w:r>
      <w:r w:rsidRPr="004A360B">
        <w:rPr>
          <w:sz w:val="21"/>
          <w:szCs w:val="21"/>
        </w:rPr>
        <w:t xml:space="preserve"> a hoop house to study the growth of a unique and innovative type of crop, input or growing system.</w:t>
      </w:r>
    </w:p>
    <w:p w14:paraId="0D26F24F" w14:textId="64BD7DD4" w:rsidR="005F354B" w:rsidRPr="00C15D0B" w:rsidRDefault="005F354B" w:rsidP="005F354B">
      <w:pPr>
        <w:pStyle w:val="ListParagraph"/>
        <w:numPr>
          <w:ilvl w:val="0"/>
          <w:numId w:val="1"/>
        </w:numPr>
        <w:rPr>
          <w:sz w:val="21"/>
          <w:szCs w:val="21"/>
        </w:rPr>
      </w:pPr>
      <w:r w:rsidRPr="004A360B">
        <w:rPr>
          <w:sz w:val="21"/>
          <w:szCs w:val="21"/>
        </w:rPr>
        <w:t>A grantee demonstrating financial need (see definition below) and the reason(s) why the purchase of the depreciable property would alleviate that need.</w:t>
      </w:r>
    </w:p>
    <w:p w14:paraId="2A2A8629" w14:textId="0C836127" w:rsidR="005F354B" w:rsidRDefault="005F354B" w:rsidP="005F354B">
      <w:pPr>
        <w:rPr>
          <w:sz w:val="21"/>
          <w:szCs w:val="21"/>
        </w:rPr>
      </w:pPr>
      <w:r w:rsidRPr="004A360B">
        <w:rPr>
          <w:sz w:val="21"/>
          <w:szCs w:val="21"/>
        </w:rPr>
        <w:t xml:space="preserve">MCFM-CF believes strongly in interrupting the cycle of poverty in farmers across America. We define financial need based on the federal poverty guidelines (FPG), published annually by the U.S. Department of Human Services. In </w:t>
      </w:r>
      <w:r w:rsidR="009D13A9">
        <w:rPr>
          <w:sz w:val="21"/>
          <w:szCs w:val="21"/>
        </w:rPr>
        <w:t>2025</w:t>
      </w:r>
      <w:r w:rsidRPr="004A360B">
        <w:rPr>
          <w:sz w:val="21"/>
          <w:szCs w:val="21"/>
        </w:rPr>
        <w:t xml:space="preserve"> MCFM-CF considers an individual to be in financial need if their </w:t>
      </w:r>
      <w:r w:rsidR="009D13A9">
        <w:rPr>
          <w:sz w:val="21"/>
          <w:szCs w:val="21"/>
        </w:rPr>
        <w:t>2023</w:t>
      </w:r>
      <w:r>
        <w:rPr>
          <w:sz w:val="21"/>
          <w:szCs w:val="21"/>
        </w:rPr>
        <w:t xml:space="preserve"> Adjusted Gross Income (line 8b on Form 1040 of U.S. Federal Tax Return)</w:t>
      </w:r>
      <w:r w:rsidRPr="004A360B">
        <w:rPr>
          <w:sz w:val="21"/>
          <w:szCs w:val="21"/>
        </w:rPr>
        <w:t xml:space="preserve"> was less than 275% FPG, as defined in the table below. </w:t>
      </w:r>
    </w:p>
    <w:p w14:paraId="3C6994FB" w14:textId="09058DC8" w:rsidR="005F354B" w:rsidRDefault="005F354B" w:rsidP="005F354B">
      <w:pPr>
        <w:rPr>
          <w:sz w:val="21"/>
          <w:szCs w:val="21"/>
        </w:rPr>
      </w:pPr>
      <w:r w:rsidRPr="0060024B">
        <w:rPr>
          <w:sz w:val="21"/>
          <w:szCs w:val="21"/>
        </w:rPr>
        <w:t>In situations where the grantee is an LLC, partnership or other collaborative effort of multiple parties, all parties must meet the definition of financial need.</w:t>
      </w:r>
    </w:p>
    <w:p w14:paraId="351CE655" w14:textId="77777777" w:rsidR="007827B8" w:rsidRPr="009707F3" w:rsidRDefault="007827B8" w:rsidP="005F354B">
      <w:pPr>
        <w:rPr>
          <w:sz w:val="21"/>
          <w:szCs w:val="21"/>
        </w:rPr>
      </w:pPr>
    </w:p>
    <w:tbl>
      <w:tblPr>
        <w:tblStyle w:val="TableGrid"/>
        <w:tblW w:w="0" w:type="auto"/>
        <w:tblInd w:w="2270" w:type="dxa"/>
        <w:tblLook w:val="04A0" w:firstRow="1" w:lastRow="0" w:firstColumn="1" w:lastColumn="0" w:noHBand="0" w:noVBand="1"/>
      </w:tblPr>
      <w:tblGrid>
        <w:gridCol w:w="2020"/>
        <w:gridCol w:w="1170"/>
        <w:gridCol w:w="1620"/>
      </w:tblGrid>
      <w:tr w:rsidR="005F354B" w14:paraId="1377B5A5" w14:textId="77777777" w:rsidTr="00C32B6C">
        <w:tc>
          <w:tcPr>
            <w:tcW w:w="2020" w:type="dxa"/>
          </w:tcPr>
          <w:p w14:paraId="398542F7" w14:textId="77777777" w:rsidR="005F354B" w:rsidRDefault="005F354B" w:rsidP="00C32B6C">
            <w:pPr>
              <w:jc w:val="center"/>
              <w:rPr>
                <w:b/>
              </w:rPr>
            </w:pPr>
            <w:r w:rsidRPr="008C71AA">
              <w:rPr>
                <w:b/>
              </w:rPr>
              <w:t>Persons Household</w:t>
            </w:r>
          </w:p>
          <w:p w14:paraId="4866D925" w14:textId="77777777" w:rsidR="005F354B" w:rsidRPr="00FC216A" w:rsidRDefault="005F354B" w:rsidP="00C32B6C">
            <w:pPr>
              <w:jc w:val="center"/>
              <w:rPr>
                <w:b/>
                <w:sz w:val="18"/>
                <w:szCs w:val="18"/>
              </w:rPr>
            </w:pPr>
            <w:r>
              <w:rPr>
                <w:b/>
                <w:sz w:val="18"/>
                <w:szCs w:val="18"/>
              </w:rPr>
              <w:t>Including</w:t>
            </w:r>
            <w:r w:rsidRPr="00FC216A">
              <w:rPr>
                <w:b/>
                <w:sz w:val="18"/>
                <w:szCs w:val="18"/>
              </w:rPr>
              <w:t xml:space="preserve"> dependents</w:t>
            </w:r>
          </w:p>
        </w:tc>
        <w:tc>
          <w:tcPr>
            <w:tcW w:w="1170" w:type="dxa"/>
          </w:tcPr>
          <w:p w14:paraId="2CA52AFF" w14:textId="77777777" w:rsidR="005F354B" w:rsidRPr="008C71AA" w:rsidRDefault="005F354B" w:rsidP="00C32B6C">
            <w:pPr>
              <w:jc w:val="center"/>
              <w:rPr>
                <w:b/>
              </w:rPr>
            </w:pPr>
            <w:r w:rsidRPr="008C71AA">
              <w:rPr>
                <w:b/>
              </w:rPr>
              <w:t>100% FPG</w:t>
            </w:r>
          </w:p>
        </w:tc>
        <w:tc>
          <w:tcPr>
            <w:tcW w:w="1620" w:type="dxa"/>
            <w:shd w:val="clear" w:color="auto" w:fill="F2F2F2" w:themeFill="background1" w:themeFillShade="F2"/>
          </w:tcPr>
          <w:p w14:paraId="576F4836" w14:textId="77777777" w:rsidR="005F354B" w:rsidRDefault="005F354B" w:rsidP="00C32B6C">
            <w:pPr>
              <w:jc w:val="center"/>
              <w:rPr>
                <w:b/>
              </w:rPr>
            </w:pPr>
            <w:r>
              <w:rPr>
                <w:b/>
              </w:rPr>
              <w:t>275</w:t>
            </w:r>
            <w:r w:rsidRPr="008C71AA">
              <w:rPr>
                <w:b/>
              </w:rPr>
              <w:t>% FPG</w:t>
            </w:r>
          </w:p>
          <w:p w14:paraId="633215B5" w14:textId="77777777" w:rsidR="005F354B" w:rsidRPr="00FC216A" w:rsidRDefault="005F354B" w:rsidP="00C32B6C">
            <w:pPr>
              <w:jc w:val="center"/>
              <w:rPr>
                <w:b/>
                <w:sz w:val="18"/>
                <w:szCs w:val="18"/>
              </w:rPr>
            </w:pPr>
            <w:r w:rsidRPr="00FC216A">
              <w:rPr>
                <w:b/>
                <w:sz w:val="18"/>
                <w:szCs w:val="18"/>
              </w:rPr>
              <w:t>Used by MCFM-CF</w:t>
            </w:r>
          </w:p>
        </w:tc>
      </w:tr>
      <w:tr w:rsidR="005F354B" w14:paraId="5C0220BD" w14:textId="77777777" w:rsidTr="00C32B6C">
        <w:tc>
          <w:tcPr>
            <w:tcW w:w="2020" w:type="dxa"/>
          </w:tcPr>
          <w:p w14:paraId="72803C34" w14:textId="77777777" w:rsidR="005F354B" w:rsidRPr="000434D5" w:rsidRDefault="005F354B" w:rsidP="00C32B6C">
            <w:pPr>
              <w:jc w:val="center"/>
              <w:rPr>
                <w:sz w:val="21"/>
                <w:szCs w:val="21"/>
              </w:rPr>
            </w:pPr>
            <w:r w:rsidRPr="000434D5">
              <w:rPr>
                <w:sz w:val="21"/>
                <w:szCs w:val="21"/>
              </w:rPr>
              <w:t>1</w:t>
            </w:r>
          </w:p>
        </w:tc>
        <w:tc>
          <w:tcPr>
            <w:tcW w:w="1170" w:type="dxa"/>
          </w:tcPr>
          <w:p w14:paraId="3C9278BF" w14:textId="233CC026" w:rsidR="005F354B" w:rsidRPr="0060024B" w:rsidRDefault="00A10BE6" w:rsidP="00A10BE6">
            <w:pPr>
              <w:jc w:val="right"/>
              <w:rPr>
                <w:sz w:val="21"/>
                <w:szCs w:val="21"/>
              </w:rPr>
            </w:pPr>
            <w:r>
              <w:rPr>
                <w:sz w:val="21"/>
                <w:szCs w:val="21"/>
              </w:rPr>
              <w:t>$</w:t>
            </w:r>
            <w:r w:rsidRPr="00A10BE6">
              <w:rPr>
                <w:sz w:val="21"/>
                <w:szCs w:val="21"/>
              </w:rPr>
              <w:t>1</w:t>
            </w:r>
            <w:r w:rsidR="00AA64D8">
              <w:rPr>
                <w:sz w:val="21"/>
                <w:szCs w:val="21"/>
              </w:rPr>
              <w:t>5,060</w:t>
            </w:r>
          </w:p>
        </w:tc>
        <w:tc>
          <w:tcPr>
            <w:tcW w:w="1620" w:type="dxa"/>
            <w:shd w:val="clear" w:color="auto" w:fill="F2F2F2" w:themeFill="background1" w:themeFillShade="F2"/>
          </w:tcPr>
          <w:p w14:paraId="5A2F19EB" w14:textId="6991DEA4" w:rsidR="005F354B" w:rsidRPr="0060024B" w:rsidRDefault="00A10BE6" w:rsidP="00C32B6C">
            <w:pPr>
              <w:jc w:val="right"/>
              <w:rPr>
                <w:sz w:val="21"/>
                <w:szCs w:val="21"/>
              </w:rPr>
            </w:pPr>
            <w:r>
              <w:rPr>
                <w:sz w:val="21"/>
                <w:szCs w:val="21"/>
              </w:rPr>
              <w:t>$4</w:t>
            </w:r>
            <w:r w:rsidR="00C32ADE">
              <w:rPr>
                <w:sz w:val="21"/>
                <w:szCs w:val="21"/>
              </w:rPr>
              <w:t>1,415</w:t>
            </w:r>
          </w:p>
        </w:tc>
      </w:tr>
      <w:tr w:rsidR="005F354B" w14:paraId="2957D0D9" w14:textId="77777777" w:rsidTr="00C32B6C">
        <w:tc>
          <w:tcPr>
            <w:tcW w:w="2020" w:type="dxa"/>
          </w:tcPr>
          <w:p w14:paraId="58AEE0BB" w14:textId="77777777" w:rsidR="005F354B" w:rsidRPr="000434D5" w:rsidRDefault="005F354B" w:rsidP="00C32B6C">
            <w:pPr>
              <w:jc w:val="center"/>
              <w:rPr>
                <w:sz w:val="21"/>
                <w:szCs w:val="21"/>
              </w:rPr>
            </w:pPr>
            <w:r w:rsidRPr="000434D5">
              <w:rPr>
                <w:sz w:val="21"/>
                <w:szCs w:val="21"/>
              </w:rPr>
              <w:t>2</w:t>
            </w:r>
          </w:p>
        </w:tc>
        <w:tc>
          <w:tcPr>
            <w:tcW w:w="1170" w:type="dxa"/>
          </w:tcPr>
          <w:p w14:paraId="47F03941" w14:textId="09D1C05A" w:rsidR="005F354B" w:rsidRPr="0060024B" w:rsidRDefault="00A10BE6" w:rsidP="00A10BE6">
            <w:pPr>
              <w:jc w:val="right"/>
              <w:rPr>
                <w:sz w:val="21"/>
                <w:szCs w:val="21"/>
              </w:rPr>
            </w:pPr>
            <w:r w:rsidRPr="00A10BE6">
              <w:rPr>
                <w:sz w:val="21"/>
                <w:szCs w:val="21"/>
              </w:rPr>
              <w:t>$</w:t>
            </w:r>
            <w:r w:rsidR="00AA64D8">
              <w:rPr>
                <w:sz w:val="21"/>
                <w:szCs w:val="21"/>
              </w:rPr>
              <w:t>20,440</w:t>
            </w:r>
          </w:p>
        </w:tc>
        <w:tc>
          <w:tcPr>
            <w:tcW w:w="1620" w:type="dxa"/>
            <w:shd w:val="clear" w:color="auto" w:fill="F2F2F2" w:themeFill="background1" w:themeFillShade="F2"/>
          </w:tcPr>
          <w:p w14:paraId="65D14BDA" w14:textId="0BE79E84" w:rsidR="005F354B" w:rsidRPr="0060024B" w:rsidRDefault="005F354B" w:rsidP="00C32B6C">
            <w:pPr>
              <w:jc w:val="right"/>
              <w:rPr>
                <w:sz w:val="21"/>
                <w:szCs w:val="21"/>
              </w:rPr>
            </w:pPr>
            <w:r w:rsidRPr="0060024B">
              <w:rPr>
                <w:sz w:val="21"/>
                <w:szCs w:val="21"/>
              </w:rPr>
              <w:t>$</w:t>
            </w:r>
            <w:r w:rsidR="00A10BE6">
              <w:rPr>
                <w:sz w:val="21"/>
                <w:szCs w:val="21"/>
              </w:rPr>
              <w:t>5</w:t>
            </w:r>
            <w:r w:rsidR="00C32ADE">
              <w:rPr>
                <w:sz w:val="21"/>
                <w:szCs w:val="21"/>
              </w:rPr>
              <w:t>6,210</w:t>
            </w:r>
          </w:p>
        </w:tc>
      </w:tr>
      <w:tr w:rsidR="005F354B" w14:paraId="7BEAD524" w14:textId="77777777" w:rsidTr="00C32B6C">
        <w:tc>
          <w:tcPr>
            <w:tcW w:w="2020" w:type="dxa"/>
          </w:tcPr>
          <w:p w14:paraId="28F3E8D4" w14:textId="77777777" w:rsidR="005F354B" w:rsidRPr="000434D5" w:rsidRDefault="005F354B" w:rsidP="00C32B6C">
            <w:pPr>
              <w:jc w:val="center"/>
              <w:rPr>
                <w:sz w:val="21"/>
                <w:szCs w:val="21"/>
              </w:rPr>
            </w:pPr>
            <w:r w:rsidRPr="000434D5">
              <w:rPr>
                <w:sz w:val="21"/>
                <w:szCs w:val="21"/>
              </w:rPr>
              <w:t>3</w:t>
            </w:r>
          </w:p>
        </w:tc>
        <w:tc>
          <w:tcPr>
            <w:tcW w:w="1170" w:type="dxa"/>
          </w:tcPr>
          <w:p w14:paraId="3037D83F" w14:textId="76002048" w:rsidR="005F354B" w:rsidRPr="0060024B" w:rsidRDefault="00A10BE6" w:rsidP="00A10BE6">
            <w:pPr>
              <w:jc w:val="right"/>
              <w:rPr>
                <w:sz w:val="21"/>
                <w:szCs w:val="21"/>
              </w:rPr>
            </w:pPr>
            <w:r w:rsidRPr="00A10BE6">
              <w:rPr>
                <w:sz w:val="21"/>
                <w:szCs w:val="21"/>
              </w:rPr>
              <w:t>$</w:t>
            </w:r>
            <w:r w:rsidR="00AA64D8">
              <w:rPr>
                <w:sz w:val="21"/>
                <w:szCs w:val="21"/>
              </w:rPr>
              <w:t>25,820</w:t>
            </w:r>
          </w:p>
        </w:tc>
        <w:tc>
          <w:tcPr>
            <w:tcW w:w="1620" w:type="dxa"/>
            <w:shd w:val="clear" w:color="auto" w:fill="F2F2F2" w:themeFill="background1" w:themeFillShade="F2"/>
          </w:tcPr>
          <w:p w14:paraId="696FAA72" w14:textId="194B1674" w:rsidR="005F354B" w:rsidRPr="0060024B" w:rsidRDefault="005F354B" w:rsidP="00C32B6C">
            <w:pPr>
              <w:jc w:val="right"/>
              <w:rPr>
                <w:sz w:val="21"/>
                <w:szCs w:val="21"/>
              </w:rPr>
            </w:pPr>
            <w:r w:rsidRPr="0060024B">
              <w:rPr>
                <w:sz w:val="21"/>
                <w:szCs w:val="21"/>
              </w:rPr>
              <w:t>$</w:t>
            </w:r>
            <w:r w:rsidR="00C32ADE">
              <w:rPr>
                <w:sz w:val="21"/>
                <w:szCs w:val="21"/>
              </w:rPr>
              <w:t>71,005</w:t>
            </w:r>
          </w:p>
        </w:tc>
      </w:tr>
      <w:tr w:rsidR="005F354B" w14:paraId="6E1C6F46" w14:textId="77777777" w:rsidTr="00C32B6C">
        <w:tc>
          <w:tcPr>
            <w:tcW w:w="2020" w:type="dxa"/>
          </w:tcPr>
          <w:p w14:paraId="7AFFBE56" w14:textId="77777777" w:rsidR="005F354B" w:rsidRPr="000434D5" w:rsidRDefault="005F354B" w:rsidP="00C32B6C">
            <w:pPr>
              <w:jc w:val="center"/>
              <w:rPr>
                <w:sz w:val="21"/>
                <w:szCs w:val="21"/>
              </w:rPr>
            </w:pPr>
            <w:r w:rsidRPr="000434D5">
              <w:rPr>
                <w:sz w:val="21"/>
                <w:szCs w:val="21"/>
              </w:rPr>
              <w:t>4</w:t>
            </w:r>
          </w:p>
        </w:tc>
        <w:tc>
          <w:tcPr>
            <w:tcW w:w="1170" w:type="dxa"/>
          </w:tcPr>
          <w:p w14:paraId="4035D79D" w14:textId="644D5190" w:rsidR="005F354B" w:rsidRPr="0060024B" w:rsidRDefault="00A10BE6" w:rsidP="00A10BE6">
            <w:pPr>
              <w:jc w:val="right"/>
              <w:rPr>
                <w:sz w:val="21"/>
                <w:szCs w:val="21"/>
              </w:rPr>
            </w:pPr>
            <w:r w:rsidRPr="00A10BE6">
              <w:rPr>
                <w:sz w:val="21"/>
                <w:szCs w:val="21"/>
              </w:rPr>
              <w:t>$</w:t>
            </w:r>
            <w:r w:rsidR="00AA64D8">
              <w:rPr>
                <w:sz w:val="21"/>
                <w:szCs w:val="21"/>
              </w:rPr>
              <w:t>31,200</w:t>
            </w:r>
          </w:p>
        </w:tc>
        <w:tc>
          <w:tcPr>
            <w:tcW w:w="1620" w:type="dxa"/>
            <w:shd w:val="clear" w:color="auto" w:fill="F2F2F2" w:themeFill="background1" w:themeFillShade="F2"/>
          </w:tcPr>
          <w:p w14:paraId="6C9D6AF0" w14:textId="49F267B5" w:rsidR="005F354B" w:rsidRPr="0060024B" w:rsidRDefault="005F354B" w:rsidP="00C32B6C">
            <w:pPr>
              <w:jc w:val="right"/>
              <w:rPr>
                <w:sz w:val="21"/>
                <w:szCs w:val="21"/>
              </w:rPr>
            </w:pPr>
            <w:r w:rsidRPr="0060024B">
              <w:rPr>
                <w:sz w:val="21"/>
                <w:szCs w:val="21"/>
              </w:rPr>
              <w:t>$</w:t>
            </w:r>
            <w:r w:rsidR="00A10BE6">
              <w:rPr>
                <w:sz w:val="21"/>
                <w:szCs w:val="21"/>
              </w:rPr>
              <w:t>8</w:t>
            </w:r>
            <w:r w:rsidR="00C32ADE">
              <w:rPr>
                <w:sz w:val="21"/>
                <w:szCs w:val="21"/>
              </w:rPr>
              <w:t>5,800</w:t>
            </w:r>
          </w:p>
        </w:tc>
      </w:tr>
      <w:tr w:rsidR="005F354B" w14:paraId="285F7C6B" w14:textId="77777777" w:rsidTr="00C32B6C">
        <w:tc>
          <w:tcPr>
            <w:tcW w:w="2020" w:type="dxa"/>
          </w:tcPr>
          <w:p w14:paraId="53E5B475" w14:textId="77777777" w:rsidR="005F354B" w:rsidRPr="000434D5" w:rsidRDefault="005F354B" w:rsidP="00C32B6C">
            <w:pPr>
              <w:jc w:val="center"/>
              <w:rPr>
                <w:sz w:val="21"/>
                <w:szCs w:val="21"/>
              </w:rPr>
            </w:pPr>
            <w:r w:rsidRPr="000434D5">
              <w:rPr>
                <w:sz w:val="21"/>
                <w:szCs w:val="21"/>
              </w:rPr>
              <w:t>5</w:t>
            </w:r>
          </w:p>
        </w:tc>
        <w:tc>
          <w:tcPr>
            <w:tcW w:w="1170" w:type="dxa"/>
          </w:tcPr>
          <w:p w14:paraId="2E48D93A" w14:textId="2257E391" w:rsidR="005F354B" w:rsidRPr="0060024B" w:rsidRDefault="00A10BE6" w:rsidP="00A10BE6">
            <w:pPr>
              <w:jc w:val="right"/>
              <w:rPr>
                <w:sz w:val="21"/>
                <w:szCs w:val="21"/>
              </w:rPr>
            </w:pPr>
            <w:r w:rsidRPr="00A10BE6">
              <w:rPr>
                <w:sz w:val="21"/>
                <w:szCs w:val="21"/>
              </w:rPr>
              <w:t>$</w:t>
            </w:r>
            <w:r w:rsidR="00AA64D8">
              <w:rPr>
                <w:sz w:val="21"/>
                <w:szCs w:val="21"/>
              </w:rPr>
              <w:t>36,580</w:t>
            </w:r>
          </w:p>
        </w:tc>
        <w:tc>
          <w:tcPr>
            <w:tcW w:w="1620" w:type="dxa"/>
            <w:shd w:val="clear" w:color="auto" w:fill="F2F2F2" w:themeFill="background1" w:themeFillShade="F2"/>
          </w:tcPr>
          <w:p w14:paraId="3BC24F0D" w14:textId="02EC2B5F" w:rsidR="005F354B" w:rsidRPr="0060024B" w:rsidRDefault="005F354B" w:rsidP="00C32B6C">
            <w:pPr>
              <w:jc w:val="right"/>
              <w:rPr>
                <w:sz w:val="21"/>
                <w:szCs w:val="21"/>
              </w:rPr>
            </w:pPr>
            <w:r w:rsidRPr="0060024B">
              <w:rPr>
                <w:sz w:val="21"/>
                <w:szCs w:val="21"/>
              </w:rPr>
              <w:t>$</w:t>
            </w:r>
            <w:r w:rsidR="00C32ADE">
              <w:rPr>
                <w:sz w:val="21"/>
                <w:szCs w:val="21"/>
              </w:rPr>
              <w:t>100,595</w:t>
            </w:r>
          </w:p>
        </w:tc>
      </w:tr>
      <w:tr w:rsidR="005F354B" w14:paraId="263DEDB6" w14:textId="77777777" w:rsidTr="00C32B6C">
        <w:tc>
          <w:tcPr>
            <w:tcW w:w="2020" w:type="dxa"/>
          </w:tcPr>
          <w:p w14:paraId="7234CE6A" w14:textId="77777777" w:rsidR="005F354B" w:rsidRPr="000434D5" w:rsidRDefault="005F354B" w:rsidP="00C32B6C">
            <w:pPr>
              <w:jc w:val="center"/>
              <w:rPr>
                <w:sz w:val="21"/>
                <w:szCs w:val="21"/>
              </w:rPr>
            </w:pPr>
            <w:r w:rsidRPr="000434D5">
              <w:rPr>
                <w:sz w:val="21"/>
                <w:szCs w:val="21"/>
              </w:rPr>
              <w:t>6</w:t>
            </w:r>
          </w:p>
        </w:tc>
        <w:tc>
          <w:tcPr>
            <w:tcW w:w="1170" w:type="dxa"/>
          </w:tcPr>
          <w:p w14:paraId="6EDFA587" w14:textId="76F9BCAF" w:rsidR="005F354B" w:rsidRPr="0060024B" w:rsidRDefault="00A10BE6" w:rsidP="00A10BE6">
            <w:pPr>
              <w:jc w:val="right"/>
              <w:rPr>
                <w:sz w:val="21"/>
                <w:szCs w:val="21"/>
              </w:rPr>
            </w:pPr>
            <w:r w:rsidRPr="00A10BE6">
              <w:rPr>
                <w:sz w:val="21"/>
                <w:szCs w:val="21"/>
              </w:rPr>
              <w:t>$4</w:t>
            </w:r>
            <w:r w:rsidR="00AA64D8">
              <w:rPr>
                <w:sz w:val="21"/>
                <w:szCs w:val="21"/>
              </w:rPr>
              <w:t>1,960</w:t>
            </w:r>
          </w:p>
        </w:tc>
        <w:tc>
          <w:tcPr>
            <w:tcW w:w="1620" w:type="dxa"/>
            <w:shd w:val="clear" w:color="auto" w:fill="F2F2F2" w:themeFill="background1" w:themeFillShade="F2"/>
          </w:tcPr>
          <w:p w14:paraId="14DE10F9" w14:textId="372E4B9C" w:rsidR="005F354B" w:rsidRPr="0060024B" w:rsidRDefault="005F354B" w:rsidP="00C32B6C">
            <w:pPr>
              <w:jc w:val="right"/>
              <w:rPr>
                <w:sz w:val="21"/>
                <w:szCs w:val="21"/>
              </w:rPr>
            </w:pPr>
            <w:r w:rsidRPr="0060024B">
              <w:rPr>
                <w:sz w:val="21"/>
                <w:szCs w:val="21"/>
              </w:rPr>
              <w:t>$</w:t>
            </w:r>
            <w:r w:rsidR="00A10BE6">
              <w:rPr>
                <w:sz w:val="21"/>
                <w:szCs w:val="21"/>
              </w:rPr>
              <w:t>11</w:t>
            </w:r>
            <w:r w:rsidR="00C32ADE">
              <w:rPr>
                <w:sz w:val="21"/>
                <w:szCs w:val="21"/>
              </w:rPr>
              <w:t>5,390</w:t>
            </w:r>
          </w:p>
        </w:tc>
      </w:tr>
      <w:tr w:rsidR="005F354B" w14:paraId="7E94E4C0" w14:textId="77777777" w:rsidTr="00C32B6C">
        <w:tc>
          <w:tcPr>
            <w:tcW w:w="2020" w:type="dxa"/>
          </w:tcPr>
          <w:p w14:paraId="30D51D02" w14:textId="77777777" w:rsidR="005F354B" w:rsidRPr="000434D5" w:rsidRDefault="005F354B" w:rsidP="00C32B6C">
            <w:pPr>
              <w:jc w:val="center"/>
              <w:rPr>
                <w:sz w:val="21"/>
                <w:szCs w:val="21"/>
              </w:rPr>
            </w:pPr>
            <w:r w:rsidRPr="000434D5">
              <w:rPr>
                <w:sz w:val="21"/>
                <w:szCs w:val="21"/>
              </w:rPr>
              <w:t>7</w:t>
            </w:r>
          </w:p>
        </w:tc>
        <w:tc>
          <w:tcPr>
            <w:tcW w:w="1170" w:type="dxa"/>
          </w:tcPr>
          <w:p w14:paraId="7AC6B0E9" w14:textId="2179CF57" w:rsidR="005F354B" w:rsidRPr="0060024B" w:rsidRDefault="00A10BE6" w:rsidP="00A10BE6">
            <w:pPr>
              <w:jc w:val="right"/>
              <w:rPr>
                <w:sz w:val="21"/>
                <w:szCs w:val="21"/>
              </w:rPr>
            </w:pPr>
            <w:r w:rsidRPr="00A10BE6">
              <w:rPr>
                <w:sz w:val="21"/>
                <w:szCs w:val="21"/>
              </w:rPr>
              <w:t>$4</w:t>
            </w:r>
            <w:r w:rsidR="00AA64D8">
              <w:rPr>
                <w:sz w:val="21"/>
                <w:szCs w:val="21"/>
              </w:rPr>
              <w:t>7,340</w:t>
            </w:r>
          </w:p>
        </w:tc>
        <w:tc>
          <w:tcPr>
            <w:tcW w:w="1620" w:type="dxa"/>
            <w:shd w:val="clear" w:color="auto" w:fill="F2F2F2" w:themeFill="background1" w:themeFillShade="F2"/>
          </w:tcPr>
          <w:p w14:paraId="337DDD05" w14:textId="1259A242" w:rsidR="005F354B" w:rsidRPr="0060024B" w:rsidRDefault="005F354B" w:rsidP="00C32B6C">
            <w:pPr>
              <w:jc w:val="right"/>
              <w:rPr>
                <w:sz w:val="21"/>
                <w:szCs w:val="21"/>
              </w:rPr>
            </w:pPr>
            <w:r w:rsidRPr="0060024B">
              <w:rPr>
                <w:sz w:val="21"/>
                <w:szCs w:val="21"/>
              </w:rPr>
              <w:t>$</w:t>
            </w:r>
            <w:r w:rsidR="00A10BE6">
              <w:rPr>
                <w:sz w:val="21"/>
                <w:szCs w:val="21"/>
              </w:rPr>
              <w:t>1</w:t>
            </w:r>
            <w:r w:rsidR="001E083F">
              <w:rPr>
                <w:sz w:val="21"/>
                <w:szCs w:val="21"/>
              </w:rPr>
              <w:t>30,185</w:t>
            </w:r>
          </w:p>
        </w:tc>
      </w:tr>
      <w:tr w:rsidR="005F354B" w14:paraId="5E3753F7" w14:textId="77777777" w:rsidTr="00C32B6C">
        <w:tc>
          <w:tcPr>
            <w:tcW w:w="2020" w:type="dxa"/>
          </w:tcPr>
          <w:p w14:paraId="31189515" w14:textId="77777777" w:rsidR="005F354B" w:rsidRPr="000434D5" w:rsidRDefault="005F354B" w:rsidP="00C32B6C">
            <w:pPr>
              <w:jc w:val="center"/>
              <w:rPr>
                <w:sz w:val="21"/>
                <w:szCs w:val="21"/>
              </w:rPr>
            </w:pPr>
            <w:r w:rsidRPr="000434D5">
              <w:rPr>
                <w:sz w:val="21"/>
                <w:szCs w:val="21"/>
              </w:rPr>
              <w:t>8</w:t>
            </w:r>
          </w:p>
        </w:tc>
        <w:tc>
          <w:tcPr>
            <w:tcW w:w="1170" w:type="dxa"/>
          </w:tcPr>
          <w:p w14:paraId="171C1FDF" w14:textId="6D6574BE" w:rsidR="005F354B" w:rsidRPr="0060024B" w:rsidRDefault="00A10BE6" w:rsidP="00A10BE6">
            <w:pPr>
              <w:jc w:val="right"/>
              <w:rPr>
                <w:sz w:val="21"/>
                <w:szCs w:val="21"/>
              </w:rPr>
            </w:pPr>
            <w:r w:rsidRPr="00A10BE6">
              <w:rPr>
                <w:sz w:val="21"/>
                <w:szCs w:val="21"/>
              </w:rPr>
              <w:t>$5</w:t>
            </w:r>
            <w:r w:rsidR="00AA64D8">
              <w:rPr>
                <w:sz w:val="21"/>
                <w:szCs w:val="21"/>
              </w:rPr>
              <w:t>2,720</w:t>
            </w:r>
          </w:p>
        </w:tc>
        <w:tc>
          <w:tcPr>
            <w:tcW w:w="1620" w:type="dxa"/>
            <w:shd w:val="clear" w:color="auto" w:fill="F2F2F2" w:themeFill="background1" w:themeFillShade="F2"/>
          </w:tcPr>
          <w:p w14:paraId="2CFF6E4D" w14:textId="1169F34A" w:rsidR="005F354B" w:rsidRPr="0060024B" w:rsidRDefault="005F354B" w:rsidP="00C32B6C">
            <w:pPr>
              <w:jc w:val="right"/>
              <w:rPr>
                <w:sz w:val="21"/>
                <w:szCs w:val="21"/>
              </w:rPr>
            </w:pPr>
            <w:r w:rsidRPr="0060024B">
              <w:rPr>
                <w:sz w:val="21"/>
                <w:szCs w:val="21"/>
              </w:rPr>
              <w:t>$</w:t>
            </w:r>
            <w:r w:rsidR="00A10BE6">
              <w:rPr>
                <w:sz w:val="21"/>
                <w:szCs w:val="21"/>
              </w:rPr>
              <w:t>1</w:t>
            </w:r>
            <w:r w:rsidR="001E083F">
              <w:rPr>
                <w:sz w:val="21"/>
                <w:szCs w:val="21"/>
              </w:rPr>
              <w:t>44,980</w:t>
            </w:r>
          </w:p>
        </w:tc>
      </w:tr>
    </w:tbl>
    <w:p w14:paraId="114B191F" w14:textId="77777777" w:rsidR="00C15D0B" w:rsidRDefault="00C15D0B" w:rsidP="00A10BE6">
      <w:pPr>
        <w:tabs>
          <w:tab w:val="left" w:pos="6480"/>
        </w:tabs>
        <w:rPr>
          <w:i/>
          <w:sz w:val="21"/>
          <w:szCs w:val="21"/>
        </w:rPr>
      </w:pPr>
      <w:r w:rsidRPr="00C15D0B">
        <w:rPr>
          <w:i/>
          <w:sz w:val="21"/>
          <w:szCs w:val="21"/>
        </w:rPr>
        <w:t xml:space="preserve">         </w:t>
      </w:r>
      <w:r>
        <w:rPr>
          <w:i/>
          <w:sz w:val="21"/>
          <w:szCs w:val="21"/>
        </w:rPr>
        <w:t xml:space="preserve">                               </w:t>
      </w:r>
      <w:r w:rsidRPr="00C15D0B">
        <w:rPr>
          <w:i/>
          <w:sz w:val="21"/>
          <w:szCs w:val="21"/>
        </w:rPr>
        <w:t xml:space="preserve">       </w:t>
      </w:r>
      <w:r>
        <w:rPr>
          <w:i/>
          <w:sz w:val="21"/>
          <w:szCs w:val="21"/>
        </w:rPr>
        <w:t>*</w:t>
      </w:r>
      <w:r w:rsidRPr="00C15D0B">
        <w:rPr>
          <w:i/>
          <w:sz w:val="21"/>
          <w:szCs w:val="21"/>
        </w:rPr>
        <w:t xml:space="preserve">For families/households with more than 8 </w:t>
      </w:r>
      <w:proofErr w:type="gramStart"/>
      <w:r w:rsidRPr="00C15D0B">
        <w:rPr>
          <w:i/>
          <w:sz w:val="21"/>
          <w:szCs w:val="21"/>
        </w:rPr>
        <w:t>persons</w:t>
      </w:r>
      <w:proofErr w:type="gramEnd"/>
      <w:r w:rsidRPr="00C15D0B">
        <w:rPr>
          <w:i/>
          <w:sz w:val="21"/>
          <w:szCs w:val="21"/>
        </w:rPr>
        <w:t>,</w:t>
      </w:r>
    </w:p>
    <w:p w14:paraId="7C55AAB9" w14:textId="3701E4A8" w:rsidR="00C15D0B" w:rsidRPr="00C15D0B" w:rsidRDefault="00C15D0B" w:rsidP="00A10BE6">
      <w:pPr>
        <w:tabs>
          <w:tab w:val="left" w:pos="6480"/>
        </w:tabs>
        <w:rPr>
          <w:i/>
          <w:sz w:val="21"/>
          <w:szCs w:val="21"/>
        </w:rPr>
      </w:pPr>
      <w:r>
        <w:rPr>
          <w:i/>
          <w:sz w:val="21"/>
          <w:szCs w:val="21"/>
        </w:rPr>
        <w:t xml:space="preserve">                                                </w:t>
      </w:r>
      <w:r w:rsidRPr="00C15D0B">
        <w:rPr>
          <w:i/>
          <w:sz w:val="21"/>
          <w:szCs w:val="21"/>
        </w:rPr>
        <w:t xml:space="preserve"> add $5,380 for each additional person.</w:t>
      </w:r>
    </w:p>
    <w:p w14:paraId="26E13BFC" w14:textId="5E5B2C22" w:rsidR="007827B8" w:rsidRDefault="005F354B" w:rsidP="00C15D0B">
      <w:pPr>
        <w:tabs>
          <w:tab w:val="left" w:pos="6480"/>
        </w:tabs>
        <w:rPr>
          <w:i/>
        </w:rPr>
      </w:pPr>
      <w:r w:rsidRPr="00FC216A">
        <w:rPr>
          <w:b/>
          <w:noProof/>
        </w:rPr>
        <mc:AlternateContent>
          <mc:Choice Requires="wps">
            <w:drawing>
              <wp:anchor distT="45720" distB="45720" distL="114300" distR="114300" simplePos="0" relativeHeight="251659264" behindDoc="1" locked="0" layoutInCell="1" allowOverlap="1" wp14:anchorId="08C677DE" wp14:editId="68068CF9">
                <wp:simplePos x="0" y="0"/>
                <wp:positionH relativeFrom="margin">
                  <wp:posOffset>1190625</wp:posOffset>
                </wp:positionH>
                <wp:positionV relativeFrom="paragraph">
                  <wp:posOffset>19368</wp:posOffset>
                </wp:positionV>
                <wp:extent cx="3380105" cy="376237"/>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376237"/>
                        </a:xfrm>
                        <a:prstGeom prst="rect">
                          <a:avLst/>
                        </a:prstGeom>
                        <a:solidFill>
                          <a:srgbClr val="FFFFFF"/>
                        </a:solidFill>
                        <a:ln w="9525">
                          <a:noFill/>
                          <a:miter lim="800000"/>
                          <a:headEnd/>
                          <a:tailEnd/>
                        </a:ln>
                      </wps:spPr>
                      <wps:txbx>
                        <w:txbxContent>
                          <w:p w14:paraId="65D9BBC3" w14:textId="125F5D87" w:rsidR="005F354B" w:rsidRDefault="005F354B" w:rsidP="005F354B">
                            <w:pPr>
                              <w:jc w:val="right"/>
                              <w:rPr>
                                <w:i/>
                                <w:sz w:val="16"/>
                                <w:szCs w:val="16"/>
                              </w:rPr>
                            </w:pPr>
                            <w:r>
                              <w:rPr>
                                <w:i/>
                                <w:sz w:val="16"/>
                                <w:szCs w:val="16"/>
                              </w:rPr>
                              <w:t xml:space="preserve">Data published by U.S. Dept. of Human </w:t>
                            </w:r>
                            <w:r w:rsidRPr="0060024B">
                              <w:rPr>
                                <w:i/>
                                <w:sz w:val="16"/>
                                <w:szCs w:val="16"/>
                              </w:rPr>
                              <w:t>Services January 1</w:t>
                            </w:r>
                            <w:r w:rsidR="001E083F">
                              <w:rPr>
                                <w:i/>
                                <w:sz w:val="16"/>
                                <w:szCs w:val="16"/>
                              </w:rPr>
                              <w:t>7</w:t>
                            </w:r>
                            <w:r w:rsidRPr="0060024B">
                              <w:rPr>
                                <w:i/>
                                <w:sz w:val="16"/>
                                <w:szCs w:val="16"/>
                              </w:rPr>
                              <w:t>, 202</w:t>
                            </w:r>
                            <w:r w:rsidR="001E083F">
                              <w:rPr>
                                <w:i/>
                                <w:sz w:val="16"/>
                                <w:szCs w:val="16"/>
                              </w:rPr>
                              <w:t>4</w:t>
                            </w:r>
                          </w:p>
                          <w:p w14:paraId="6D051289" w14:textId="2F1D554F" w:rsidR="005F354B" w:rsidRDefault="005F354B" w:rsidP="005F354B">
                            <w:pPr>
                              <w:jc w:val="right"/>
                              <w:rPr>
                                <w:i/>
                                <w:sz w:val="16"/>
                                <w:szCs w:val="16"/>
                              </w:rPr>
                            </w:pPr>
                            <w:hyperlink r:id="rId6" w:history="1">
                              <w:r w:rsidR="001E083F">
                                <w:rPr>
                                  <w:rStyle w:val="Hyperlink"/>
                                  <w:i/>
                                  <w:sz w:val="16"/>
                                  <w:szCs w:val="16"/>
                                </w:rPr>
                                <w:t>https://aspe.hhs.gov/topics/poverty-economic-mobility/poverty-guidelines</w:t>
                              </w:r>
                            </w:hyperlink>
                          </w:p>
                          <w:p w14:paraId="76A504C8" w14:textId="77777777" w:rsidR="005F354B" w:rsidRPr="00FC216A" w:rsidRDefault="005F354B" w:rsidP="005F354B">
                            <w:pPr>
                              <w:jc w:val="right"/>
                              <w:rPr>
                                <w:i/>
                                <w:sz w:val="16"/>
                                <w:szCs w:val="16"/>
                              </w:rPr>
                            </w:pPr>
                          </w:p>
                          <w:p w14:paraId="33B565F7" w14:textId="77777777" w:rsidR="005F354B" w:rsidRDefault="005F354B" w:rsidP="005F354B">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C677DE" id="_x0000_t202" coordsize="21600,21600" o:spt="202" path="m,l,21600r21600,l21600,xe">
                <v:stroke joinstyle="miter"/>
                <v:path gradientshapeok="t" o:connecttype="rect"/>
              </v:shapetype>
              <v:shape id="Text Box 2" o:spid="_x0000_s1026" type="#_x0000_t202" style="position:absolute;margin-left:93.75pt;margin-top:1.55pt;width:266.15pt;height:29.6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mVDQIAAPYDAAAOAAAAZHJzL2Uyb0RvYy54bWysU9tu2zAMfR+wfxD0vjjXJjXiFF26DAO6&#10;C9DtA2RZjoXJokYpsbOvH6W4aba9DdODIIrUIXl4tL7rW8OOCr0GW/DJaMyZshIqbfcF//Z192bF&#10;mQ/CVsKAVQU/Kc/vNq9frTuXqyk0YCqFjECszztX8CYEl2eZl41qhR+BU5acNWArApm4zyoUHaG3&#10;JpuOxzdZB1g5BKm8p9uHs5NvEn5dKxk+17VXgZmCU20h7Zj2Mu7ZZi3yPQrXaDmUIf6hilZoS0kv&#10;UA8iCHZA/RdUqyWChzqMJLQZ1LWWKvVA3UzGf3Tz1AinUi9EjncXmvz/g5Wfjk/uC7LQv4WeBpia&#10;8O4R5HfPLGwbYffqHhG6RomKEk8iZVnnfD48jVT73EeQsvsIFQ1ZHAIkoL7GNrJCfTJCpwGcLqSr&#10;PjBJl7PZijpfcCbJN1veTGfLlELkz68d+vBeQcvioeBIQ03o4vjoQ6xG5M8hMZkHo6udNiYZuC+3&#10;BtlRkAB2aQ3ov4UZy7qC3y6mi4RsIb5P2mh1IIEa3RZ8NY7rLJnIxjtbpZAgtDmfqRJjB3oiI2du&#10;Ql/2FBhpKqE6EVEIZyHSx6FDA/iTs45EWHD/4yBQcWY+WCL7djKfR9UmY75YTsnAa0957RFWElTB&#10;A2fn4zYkpUceLNzTUGqd+HqpZKiVxJVoHD5CVO+1naJevuvmFwAAAP//AwBQSwMEFAAGAAgAAAAh&#10;AKNCAJvcAAAACAEAAA8AAABkcnMvZG93bnJldi54bWxMj0FPg0AUhO8m/ofNM/Fi7EJroUWWRk00&#10;Xlv7Ax7wCkT2LWG3hf57nyc9TmYy802+m22vLjT6zrGBeBGBIq5c3XFj4Pj1/rgB5QNyjb1jMnAl&#10;D7vi9ibHrHYT7+lyCI2SEvYZGmhDGDKtfdWSRb9wA7F4JzdaDCLHRtcjTlJue72MokRb7FgWWhzo&#10;raXq+3C2Bk6f08N6O5Uf4Zjun5JX7NLSXY25v5tfnkEFmsNfGH7xBR0KYSrdmWuvetGbdC1RA6sY&#10;lPhpvJUrpYFkuQJd5Pr/geIHAAD//wMAUEsBAi0AFAAGAAgAAAAhALaDOJL+AAAA4QEAABMAAAAA&#10;AAAAAAAAAAAAAAAAAFtDb250ZW50X1R5cGVzXS54bWxQSwECLQAUAAYACAAAACEAOP0h/9YAAACU&#10;AQAACwAAAAAAAAAAAAAAAAAvAQAAX3JlbHMvLnJlbHNQSwECLQAUAAYACAAAACEAPhfJlQ0CAAD2&#10;AwAADgAAAAAAAAAAAAAAAAAuAgAAZHJzL2Uyb0RvYy54bWxQSwECLQAUAAYACAAAACEAo0IAm9wA&#10;AAAIAQAADwAAAAAAAAAAAAAAAABnBAAAZHJzL2Rvd25yZXYueG1sUEsFBgAAAAAEAAQA8wAAAHAF&#10;AAAAAA==&#10;" stroked="f">
                <v:textbox>
                  <w:txbxContent>
                    <w:p w14:paraId="65D9BBC3" w14:textId="125F5D87" w:rsidR="005F354B" w:rsidRDefault="005F354B" w:rsidP="005F354B">
                      <w:pPr>
                        <w:jc w:val="right"/>
                        <w:rPr>
                          <w:i/>
                          <w:sz w:val="16"/>
                          <w:szCs w:val="16"/>
                        </w:rPr>
                      </w:pPr>
                      <w:r>
                        <w:rPr>
                          <w:i/>
                          <w:sz w:val="16"/>
                          <w:szCs w:val="16"/>
                        </w:rPr>
                        <w:t xml:space="preserve">Data published by U.S. Dept. of Human </w:t>
                      </w:r>
                      <w:r w:rsidRPr="0060024B">
                        <w:rPr>
                          <w:i/>
                          <w:sz w:val="16"/>
                          <w:szCs w:val="16"/>
                        </w:rPr>
                        <w:t>Services January 1</w:t>
                      </w:r>
                      <w:r w:rsidR="001E083F">
                        <w:rPr>
                          <w:i/>
                          <w:sz w:val="16"/>
                          <w:szCs w:val="16"/>
                        </w:rPr>
                        <w:t>7</w:t>
                      </w:r>
                      <w:r w:rsidRPr="0060024B">
                        <w:rPr>
                          <w:i/>
                          <w:sz w:val="16"/>
                          <w:szCs w:val="16"/>
                        </w:rPr>
                        <w:t>, 202</w:t>
                      </w:r>
                      <w:r w:rsidR="001E083F">
                        <w:rPr>
                          <w:i/>
                          <w:sz w:val="16"/>
                          <w:szCs w:val="16"/>
                        </w:rPr>
                        <w:t>4</w:t>
                      </w:r>
                    </w:p>
                    <w:p w14:paraId="6D051289" w14:textId="2F1D554F" w:rsidR="005F354B" w:rsidRDefault="005F354B" w:rsidP="005F354B">
                      <w:pPr>
                        <w:jc w:val="right"/>
                        <w:rPr>
                          <w:i/>
                          <w:sz w:val="16"/>
                          <w:szCs w:val="16"/>
                        </w:rPr>
                      </w:pPr>
                      <w:hyperlink r:id="rId7" w:history="1">
                        <w:r w:rsidR="001E083F">
                          <w:rPr>
                            <w:rStyle w:val="Hyperlink"/>
                            <w:i/>
                            <w:sz w:val="16"/>
                            <w:szCs w:val="16"/>
                          </w:rPr>
                          <w:t>https://aspe.hhs.gov/topics/poverty-economic-mobility/poverty-guidelines</w:t>
                        </w:r>
                      </w:hyperlink>
                    </w:p>
                    <w:p w14:paraId="76A504C8" w14:textId="77777777" w:rsidR="005F354B" w:rsidRPr="00FC216A" w:rsidRDefault="005F354B" w:rsidP="005F354B">
                      <w:pPr>
                        <w:jc w:val="right"/>
                        <w:rPr>
                          <w:i/>
                          <w:sz w:val="16"/>
                          <w:szCs w:val="16"/>
                        </w:rPr>
                      </w:pPr>
                    </w:p>
                    <w:p w14:paraId="33B565F7" w14:textId="77777777" w:rsidR="005F354B" w:rsidRDefault="005F354B" w:rsidP="005F354B">
                      <w:pPr>
                        <w:jc w:val="right"/>
                      </w:pPr>
                    </w:p>
                  </w:txbxContent>
                </v:textbox>
                <w10:wrap anchorx="margin"/>
              </v:shape>
            </w:pict>
          </mc:Fallback>
        </mc:AlternateContent>
      </w:r>
      <w:r w:rsidR="00A10BE6">
        <w:rPr>
          <w:i/>
        </w:rPr>
        <w:tab/>
      </w:r>
    </w:p>
    <w:p w14:paraId="568D7D54" w14:textId="77777777" w:rsidR="00C15D0B" w:rsidRPr="00C15D0B" w:rsidRDefault="00C15D0B" w:rsidP="00C15D0B">
      <w:pPr>
        <w:tabs>
          <w:tab w:val="left" w:pos="6480"/>
        </w:tabs>
        <w:rPr>
          <w:i/>
        </w:rPr>
      </w:pPr>
    </w:p>
    <w:p w14:paraId="309C0CD9" w14:textId="6C69835B" w:rsidR="005F354B" w:rsidRDefault="005F354B" w:rsidP="005F354B">
      <w:pPr>
        <w:spacing w:after="240"/>
        <w:rPr>
          <w:sz w:val="21"/>
          <w:szCs w:val="21"/>
        </w:rPr>
      </w:pPr>
      <w:proofErr w:type="gramStart"/>
      <w:r w:rsidRPr="00B44A0A">
        <w:rPr>
          <w:sz w:val="21"/>
          <w:szCs w:val="21"/>
        </w:rPr>
        <w:t>Current</w:t>
      </w:r>
      <w:proofErr w:type="gramEnd"/>
      <w:r w:rsidRPr="00B44A0A">
        <w:rPr>
          <w:sz w:val="21"/>
          <w:szCs w:val="21"/>
        </w:rPr>
        <w:t xml:space="preserve"> methodology for the FPG was created in the 1960’s and is now widely recognized as outdated. Due to these deficiencies, MCFM-CF believes that 275% FPG is a fair definition of poverty. In fact, </w:t>
      </w:r>
      <w:hyperlink r:id="rId8" w:history="1">
        <w:r w:rsidRPr="00B44A0A">
          <w:rPr>
            <w:rStyle w:val="Hyperlink"/>
            <w:sz w:val="21"/>
            <w:szCs w:val="21"/>
          </w:rPr>
          <w:t>research suggests</w:t>
        </w:r>
      </w:hyperlink>
      <w:r w:rsidRPr="00B44A0A">
        <w:rPr>
          <w:sz w:val="21"/>
          <w:szCs w:val="21"/>
        </w:rPr>
        <w:t xml:space="preserve"> that, on average, families need an income of about twice the federal poverty level just to afford basic expenses. We have also considered additional criticism from the U.S. Census Bureau and NGO’s surrounding FPG, such as: calculating FPG based on pre-taxable income, household size definitions, geographic factors and other considerations.</w:t>
      </w:r>
    </w:p>
    <w:p w14:paraId="458068CD" w14:textId="29C70B30" w:rsidR="005F354B" w:rsidRPr="007827B8" w:rsidRDefault="005F354B" w:rsidP="007827B8">
      <w:pPr>
        <w:spacing w:after="240"/>
        <w:rPr>
          <w:sz w:val="21"/>
          <w:szCs w:val="21"/>
        </w:rPr>
      </w:pPr>
      <w:r w:rsidRPr="00B44A0A">
        <w:rPr>
          <w:sz w:val="21"/>
          <w:szCs w:val="21"/>
        </w:rPr>
        <w:t xml:space="preserve">Furthermore, most farmers are faced with additional economic burdens uniquely inherent to farming such as lack of job security from the constant threat of extreme weather events and lack of overtime pay, sick time, maternity leave, health insurance and other traditional benefits of full-time employment. </w:t>
      </w:r>
    </w:p>
    <w:sectPr w:rsidR="005F354B" w:rsidRPr="007827B8" w:rsidSect="00FD2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7561A"/>
    <w:multiLevelType w:val="hybridMultilevel"/>
    <w:tmpl w:val="EE0250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7497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220"/>
    <w:rsid w:val="000051A4"/>
    <w:rsid w:val="00184220"/>
    <w:rsid w:val="001E083F"/>
    <w:rsid w:val="002212AE"/>
    <w:rsid w:val="005F354B"/>
    <w:rsid w:val="0069137E"/>
    <w:rsid w:val="007328C8"/>
    <w:rsid w:val="007827B8"/>
    <w:rsid w:val="0081140F"/>
    <w:rsid w:val="00914E1A"/>
    <w:rsid w:val="009D13A9"/>
    <w:rsid w:val="00A10BE6"/>
    <w:rsid w:val="00A33A2F"/>
    <w:rsid w:val="00AA64D8"/>
    <w:rsid w:val="00C15D0B"/>
    <w:rsid w:val="00C32ADE"/>
    <w:rsid w:val="00C8136F"/>
    <w:rsid w:val="00E34373"/>
    <w:rsid w:val="00FD2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B15F"/>
  <w15:chartTrackingRefBased/>
  <w15:docId w15:val="{17FE66AE-8311-214B-AE45-D4194D14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54B"/>
    <w:pPr>
      <w:spacing w:after="160" w:line="259" w:lineRule="auto"/>
      <w:ind w:left="720"/>
      <w:contextualSpacing/>
    </w:pPr>
    <w:rPr>
      <w:sz w:val="22"/>
      <w:szCs w:val="22"/>
    </w:rPr>
  </w:style>
  <w:style w:type="table" w:styleId="TableGrid">
    <w:name w:val="Table Grid"/>
    <w:basedOn w:val="TableNormal"/>
    <w:uiPriority w:val="39"/>
    <w:rsid w:val="005F354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354B"/>
    <w:rPr>
      <w:color w:val="0563C1" w:themeColor="hyperlink"/>
      <w:u w:val="single"/>
    </w:rPr>
  </w:style>
  <w:style w:type="character" w:styleId="FollowedHyperlink">
    <w:name w:val="FollowedHyperlink"/>
    <w:basedOn w:val="DefaultParagraphFont"/>
    <w:uiPriority w:val="99"/>
    <w:semiHidden/>
    <w:unhideWhenUsed/>
    <w:rsid w:val="00A10B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340154">
      <w:bodyDiv w:val="1"/>
      <w:marLeft w:val="0"/>
      <w:marRight w:val="0"/>
      <w:marTop w:val="0"/>
      <w:marBottom w:val="0"/>
      <w:divBdr>
        <w:top w:val="none" w:sz="0" w:space="0" w:color="auto"/>
        <w:left w:val="none" w:sz="0" w:space="0" w:color="auto"/>
        <w:bottom w:val="none" w:sz="0" w:space="0" w:color="auto"/>
        <w:right w:val="none" w:sz="0" w:space="0" w:color="auto"/>
      </w:divBdr>
    </w:div>
    <w:div w:id="466095750">
      <w:bodyDiv w:val="1"/>
      <w:marLeft w:val="0"/>
      <w:marRight w:val="0"/>
      <w:marTop w:val="0"/>
      <w:marBottom w:val="0"/>
      <w:divBdr>
        <w:top w:val="none" w:sz="0" w:space="0" w:color="auto"/>
        <w:left w:val="none" w:sz="0" w:space="0" w:color="auto"/>
        <w:bottom w:val="none" w:sz="0" w:space="0" w:color="auto"/>
        <w:right w:val="none" w:sz="0" w:space="0" w:color="auto"/>
      </w:divBdr>
    </w:div>
    <w:div w:id="760611621">
      <w:bodyDiv w:val="1"/>
      <w:marLeft w:val="0"/>
      <w:marRight w:val="0"/>
      <w:marTop w:val="0"/>
      <w:marBottom w:val="0"/>
      <w:divBdr>
        <w:top w:val="none" w:sz="0" w:space="0" w:color="auto"/>
        <w:left w:val="none" w:sz="0" w:space="0" w:color="auto"/>
        <w:bottom w:val="none" w:sz="0" w:space="0" w:color="auto"/>
        <w:right w:val="none" w:sz="0" w:space="0" w:color="auto"/>
      </w:divBdr>
    </w:div>
    <w:div w:id="764377373">
      <w:bodyDiv w:val="1"/>
      <w:marLeft w:val="0"/>
      <w:marRight w:val="0"/>
      <w:marTop w:val="0"/>
      <w:marBottom w:val="0"/>
      <w:divBdr>
        <w:top w:val="none" w:sz="0" w:space="0" w:color="auto"/>
        <w:left w:val="none" w:sz="0" w:space="0" w:color="auto"/>
        <w:bottom w:val="none" w:sz="0" w:space="0" w:color="auto"/>
        <w:right w:val="none" w:sz="0" w:space="0" w:color="auto"/>
      </w:divBdr>
    </w:div>
    <w:div w:id="973948208">
      <w:bodyDiv w:val="1"/>
      <w:marLeft w:val="0"/>
      <w:marRight w:val="0"/>
      <w:marTop w:val="0"/>
      <w:marBottom w:val="0"/>
      <w:divBdr>
        <w:top w:val="none" w:sz="0" w:space="0" w:color="auto"/>
        <w:left w:val="none" w:sz="0" w:space="0" w:color="auto"/>
        <w:bottom w:val="none" w:sz="0" w:space="0" w:color="auto"/>
        <w:right w:val="none" w:sz="0" w:space="0" w:color="auto"/>
      </w:divBdr>
    </w:div>
    <w:div w:id="1360547224">
      <w:bodyDiv w:val="1"/>
      <w:marLeft w:val="0"/>
      <w:marRight w:val="0"/>
      <w:marTop w:val="0"/>
      <w:marBottom w:val="0"/>
      <w:divBdr>
        <w:top w:val="none" w:sz="0" w:space="0" w:color="auto"/>
        <w:left w:val="none" w:sz="0" w:space="0" w:color="auto"/>
        <w:bottom w:val="none" w:sz="0" w:space="0" w:color="auto"/>
        <w:right w:val="none" w:sz="0" w:space="0" w:color="auto"/>
      </w:divBdr>
    </w:div>
    <w:div w:id="1697999986">
      <w:bodyDiv w:val="1"/>
      <w:marLeft w:val="0"/>
      <w:marRight w:val="0"/>
      <w:marTop w:val="0"/>
      <w:marBottom w:val="0"/>
      <w:divBdr>
        <w:top w:val="none" w:sz="0" w:space="0" w:color="auto"/>
        <w:left w:val="none" w:sz="0" w:space="0" w:color="auto"/>
        <w:bottom w:val="none" w:sz="0" w:space="0" w:color="auto"/>
        <w:right w:val="none" w:sz="0" w:space="0" w:color="auto"/>
      </w:divBdr>
    </w:div>
    <w:div w:id="1708605971">
      <w:bodyDiv w:val="1"/>
      <w:marLeft w:val="0"/>
      <w:marRight w:val="0"/>
      <w:marTop w:val="0"/>
      <w:marBottom w:val="0"/>
      <w:divBdr>
        <w:top w:val="none" w:sz="0" w:space="0" w:color="auto"/>
        <w:left w:val="none" w:sz="0" w:space="0" w:color="auto"/>
        <w:bottom w:val="none" w:sz="0" w:space="0" w:color="auto"/>
        <w:right w:val="none" w:sz="0" w:space="0" w:color="auto"/>
      </w:divBdr>
    </w:div>
    <w:div w:id="1832408601">
      <w:bodyDiv w:val="1"/>
      <w:marLeft w:val="0"/>
      <w:marRight w:val="0"/>
      <w:marTop w:val="0"/>
      <w:marBottom w:val="0"/>
      <w:divBdr>
        <w:top w:val="none" w:sz="0" w:space="0" w:color="auto"/>
        <w:left w:val="none" w:sz="0" w:space="0" w:color="auto"/>
        <w:bottom w:val="none" w:sz="0" w:space="0" w:color="auto"/>
        <w:right w:val="none" w:sz="0" w:space="0" w:color="auto"/>
      </w:divBdr>
    </w:div>
    <w:div w:id="1934588025">
      <w:bodyDiv w:val="1"/>
      <w:marLeft w:val="0"/>
      <w:marRight w:val="0"/>
      <w:marTop w:val="0"/>
      <w:marBottom w:val="0"/>
      <w:divBdr>
        <w:top w:val="none" w:sz="0" w:space="0" w:color="auto"/>
        <w:left w:val="none" w:sz="0" w:space="0" w:color="auto"/>
        <w:bottom w:val="none" w:sz="0" w:space="0" w:color="auto"/>
        <w:right w:val="none" w:sz="0" w:space="0" w:color="auto"/>
      </w:divBdr>
    </w:div>
    <w:div w:id="2031947233">
      <w:bodyDiv w:val="1"/>
      <w:marLeft w:val="0"/>
      <w:marRight w:val="0"/>
      <w:marTop w:val="0"/>
      <w:marBottom w:val="0"/>
      <w:divBdr>
        <w:top w:val="none" w:sz="0" w:space="0" w:color="auto"/>
        <w:left w:val="none" w:sz="0" w:space="0" w:color="auto"/>
        <w:bottom w:val="none" w:sz="0" w:space="0" w:color="auto"/>
        <w:right w:val="none" w:sz="0" w:space="0" w:color="auto"/>
      </w:divBdr>
    </w:div>
    <w:div w:id="209053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cp.org/publications/pub_858.html" TargetMode="External"/><Relationship Id="rId3" Type="http://schemas.openxmlformats.org/officeDocument/2006/relationships/settings" Target="settings.xml"/><Relationship Id="rId7" Type="http://schemas.openxmlformats.org/officeDocument/2006/relationships/hyperlink" Target="https://aspe.hhs.gov/topics/poverty-economic-mobility/poverty-guideli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pe.hhs.gov/topics/poverty-economic-mobility/poverty-guideline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G O'brien Mcleod</dc:creator>
  <cp:keywords/>
  <dc:description/>
  <cp:lastModifiedBy>Chrissy Ramakrishnan</cp:lastModifiedBy>
  <cp:revision>8</cp:revision>
  <dcterms:created xsi:type="dcterms:W3CDTF">2024-11-21T21:51:00Z</dcterms:created>
  <dcterms:modified xsi:type="dcterms:W3CDTF">2024-11-21T23:50:00Z</dcterms:modified>
</cp:coreProperties>
</file>